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1A4B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drawing>
          <wp:anchor distT="0" distB="0" distL="114300" distR="114300" simplePos="0" relativeHeight="251659264" behindDoc="1" locked="0" layoutInCell="1" allowOverlap="1">
            <wp:simplePos x="0" y="0"/>
            <wp:positionH relativeFrom="column">
              <wp:posOffset>71120</wp:posOffset>
            </wp:positionH>
            <wp:positionV relativeFrom="paragraph">
              <wp:posOffset>83820</wp:posOffset>
            </wp:positionV>
            <wp:extent cx="5251450" cy="2196465"/>
            <wp:effectExtent l="0" t="0" r="6350" b="13335"/>
            <wp:wrapNone/>
            <wp:docPr id="2" name="图片 2" descr="政府红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府红头"/>
                    <pic:cNvPicPr>
                      <a:picLocks noChangeAspect="1"/>
                    </pic:cNvPicPr>
                  </pic:nvPicPr>
                  <pic:blipFill>
                    <a:blip r:embed="rId6"/>
                    <a:srcRect l="9707" t="9125" r="9578" b="67002"/>
                    <a:stretch>
                      <a:fillRect/>
                    </a:stretch>
                  </pic:blipFill>
                  <pic:spPr>
                    <a:xfrm>
                      <a:off x="0" y="0"/>
                      <a:ext cx="5251450" cy="2196465"/>
                    </a:xfrm>
                    <a:prstGeom prst="rect">
                      <a:avLst/>
                    </a:prstGeom>
                  </pic:spPr>
                </pic:pic>
              </a:graphicData>
            </a:graphic>
          </wp:anchor>
        </w:drawing>
      </w:r>
    </w:p>
    <w:p w14:paraId="212E7E3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bCs w:val="0"/>
          <w:sz w:val="44"/>
          <w:szCs w:val="44"/>
          <w:lang w:val="en-US" w:eastAsia="zh-CN"/>
        </w:rPr>
      </w:pPr>
    </w:p>
    <w:p w14:paraId="74B4D7B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bCs w:val="0"/>
          <w:sz w:val="44"/>
          <w:szCs w:val="44"/>
          <w:lang w:val="en-US" w:eastAsia="zh-CN"/>
        </w:rPr>
      </w:pPr>
    </w:p>
    <w:p w14:paraId="16FEF4E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bCs w:val="0"/>
          <w:sz w:val="44"/>
          <w:szCs w:val="44"/>
          <w:lang w:val="en-US" w:eastAsia="zh-CN"/>
        </w:rPr>
      </w:pPr>
    </w:p>
    <w:p w14:paraId="186C9A3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bCs w:val="0"/>
          <w:sz w:val="44"/>
          <w:szCs w:val="44"/>
          <w:lang w:val="en-US" w:eastAsia="zh-CN"/>
        </w:rPr>
      </w:pPr>
    </w:p>
    <w:p w14:paraId="1255031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楷体_GB2312" w:cs="Times New Roman"/>
          <w:sz w:val="32"/>
          <w:szCs w:val="32"/>
          <w:lang w:val="en-US" w:eastAsia="zh-CN"/>
        </w:rPr>
        <w:t>沙</w:t>
      </w:r>
      <w:r>
        <w:rPr>
          <w:rFonts w:hint="default" w:ascii="Times New Roman" w:hAnsi="Times New Roman" w:eastAsia="楷体_GB2312" w:cs="Times New Roman"/>
          <w:sz w:val="32"/>
          <w:szCs w:val="32"/>
        </w:rPr>
        <w:t>政</w:t>
      </w:r>
      <w:r>
        <w:rPr>
          <w:rFonts w:hint="default" w:ascii="Times New Roman" w:hAnsi="Times New Roman" w:eastAsia="楷体_GB2312" w:cs="Times New Roman"/>
          <w:sz w:val="32"/>
          <w:szCs w:val="32"/>
          <w:lang w:val="en-US" w:eastAsia="zh-CN"/>
        </w:rPr>
        <w:t>发</w:t>
      </w:r>
      <w:r>
        <w:rPr>
          <w:rFonts w:hint="default" w:ascii="Times New Roman" w:hAnsi="Times New Roman" w:eastAsia="楷体_GB2312" w:cs="Times New Roman"/>
          <w:sz w:val="32"/>
          <w:szCs w:val="32"/>
        </w:rPr>
        <w:t>〔202</w:t>
      </w:r>
      <w:r>
        <w:rPr>
          <w:rFonts w:hint="default"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9</w:t>
      </w:r>
      <w:r>
        <w:rPr>
          <w:rFonts w:hint="default" w:ascii="Times New Roman" w:hAnsi="Times New Roman" w:eastAsia="楷体_GB2312" w:cs="Times New Roman"/>
          <w:sz w:val="32"/>
          <w:szCs w:val="32"/>
        </w:rPr>
        <w:t>号</w:t>
      </w:r>
    </w:p>
    <w:p w14:paraId="15EF26C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bCs w:val="0"/>
          <w:sz w:val="44"/>
          <w:szCs w:val="44"/>
          <w:lang w:val="en-US" w:eastAsia="zh-CN"/>
        </w:rPr>
      </w:pPr>
    </w:p>
    <w:p w14:paraId="14280481">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薛城区沙沟镇2026年防汛抗旱防台风</w:t>
      </w:r>
    </w:p>
    <w:p w14:paraId="3A34F164">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实施意见</w:t>
      </w:r>
    </w:p>
    <w:p w14:paraId="06F7DD83">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Times New Roman" w:hAnsi="Times New Roman" w:eastAsia="仿宋" w:cs="Times New Roman"/>
          <w:sz w:val="32"/>
          <w:szCs w:val="32"/>
          <w:lang w:val="en-US" w:eastAsia="zh-CN"/>
        </w:rPr>
      </w:pPr>
    </w:p>
    <w:p w14:paraId="7D045F0A">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sz w:val="32"/>
          <w:szCs w:val="32"/>
          <w:lang w:val="en-US" w:eastAsia="zh-CN"/>
        </w:rPr>
        <w:t>为做好2026年防汛度汛工作，确保人民群众生命财产安全和促进我镇社会经济发展。从思想上、组织上、物质上、工作上做好防大汛抗大灾的准备工作，做到未雨绸缪。按照市、区防汛抗旱指挥部对今年的防汛度汛工作安排部署，全面落实防汛工作各项措施和责任，确保我镇安全度汛，现对2026年我镇防汛工作作以下安排。</w:t>
      </w:r>
    </w:p>
    <w:p w14:paraId="4F65D03C">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黑体" w:cs="Times New Roman"/>
          <w:sz w:val="32"/>
          <w:szCs w:val="32"/>
          <w:lang w:val="en-US" w:eastAsia="zh-CN"/>
        </w:rPr>
        <w:t>一、狠抓防汛抗旱责任落实</w:t>
      </w:r>
    </w:p>
    <w:p w14:paraId="156005D8">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1.全面落实防汛抗旱工作责任制。按照“党政同责、一岗双责”要求，压实压紧各单位、各村防汛救灾主体责任，建立完善镇领导包村工作机制，着力构建高效</w:t>
      </w:r>
      <w:bookmarkStart w:id="0" w:name="_GoBack"/>
      <w:bookmarkEnd w:id="0"/>
      <w:r>
        <w:rPr>
          <w:rFonts w:hint="default" w:ascii="Times New Roman" w:hAnsi="Times New Roman" w:eastAsia="仿宋_GB2312" w:cs="Times New Roman"/>
          <w:sz w:val="32"/>
          <w:szCs w:val="32"/>
          <w:lang w:val="en-US" w:eastAsia="zh-CN"/>
        </w:rPr>
        <w:t>联动的实战型防汛指挥体系。4月底前及时调整各级防汛抗旱责任人和河道、水库、蓄滞洪区等防洪工程以及城市防汛、重要设施防汛责任人，汛前在主流媒体公布，接受社会监督。5月上旬前及时调整充实各级防汛抗旱指挥机构，细化实化各成员单位职责，充分发挥各成员单位专业优势，形成防汛工作合力。</w:t>
      </w:r>
    </w:p>
    <w:p w14:paraId="4DE04BD8">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突出抓好基层防汛责任落实。全面梳理辖区内水库、河道、塘坝、防汛重点村居、山洪易发区、地灾隐患点、低洼易涝区等重点部位，逐一落实责任人，建立健全防汛责任人责任清单、任务清单，形成全覆盖、无死角的基层防汛网格化责任体系。强化基层应急“叫应”机制建设，完善“叫醒”手段、细化“响应”措施，确保责任人“有叫”“有应”“有为”。</w:t>
      </w:r>
    </w:p>
    <w:p w14:paraId="681E7B03">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强化责任人履职能力建设。汛前完成各类防汛抗旱行政责任人特别是新任领导干部的培训，切实提高防汛防台风决策指挥水平和防范应对能力。采取集中授课、线上培训等多种形式，对辖区内各类基层防汛责任人实施全覆盖的防汛抗旱知识培训，着力提升基层防汛责任人责任意识、专业水平和履职能力。</w:t>
      </w:r>
    </w:p>
    <w:p w14:paraId="5844F1B1">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二、狠抓风险隐患排查整治</w:t>
      </w:r>
    </w:p>
    <w:p w14:paraId="6C0A0F68">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组织开展单位自查。严格落实属地管理责任，组织部署本级及辖区内有安全度汛任务的村及各类机关企事业单位开展防汛防台风检查，确保责任落实、预案修编、转移安置、培训演练、工程设施、装置设备、队伍物资、应急准备等各个方面和环节落实到位。</w:t>
      </w:r>
    </w:p>
    <w:p w14:paraId="2C80622E">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2.组织开展重点行业检查。按照“谁主管、谁负责”原则，水利站、行政执法大队、农业发展办、公路站、国土所、建</w:t>
      </w:r>
      <w:r>
        <w:rPr>
          <w:rFonts w:hint="eastAsia" w:ascii="Times New Roman" w:hAnsi="Times New Roman" w:eastAsia="仿宋_GB2312" w:cs="Times New Roman"/>
          <w:sz w:val="32"/>
          <w:szCs w:val="32"/>
          <w:lang w:val="en-US" w:eastAsia="zh-CN"/>
        </w:rPr>
        <w:t>设</w:t>
      </w:r>
      <w:r>
        <w:rPr>
          <w:rFonts w:hint="default" w:ascii="Times New Roman" w:hAnsi="Times New Roman" w:eastAsia="仿宋_GB2312" w:cs="Times New Roman"/>
          <w:sz w:val="32"/>
          <w:szCs w:val="32"/>
          <w:lang w:val="en-US" w:eastAsia="zh-CN"/>
        </w:rPr>
        <w:t>办、教育办、文旅</w:t>
      </w:r>
      <w:r>
        <w:rPr>
          <w:rFonts w:hint="eastAsia" w:ascii="Times New Roman" w:hAnsi="Times New Roman" w:eastAsia="仿宋_GB2312" w:cs="Times New Roman"/>
          <w:sz w:val="32"/>
          <w:szCs w:val="32"/>
          <w:lang w:val="en-US" w:eastAsia="zh-CN"/>
        </w:rPr>
        <w:t>办</w:t>
      </w:r>
      <w:r>
        <w:rPr>
          <w:rFonts w:hint="default" w:ascii="Times New Roman" w:hAnsi="Times New Roman" w:eastAsia="仿宋_GB2312" w:cs="Times New Roman"/>
          <w:sz w:val="32"/>
          <w:szCs w:val="32"/>
          <w:lang w:val="en-US" w:eastAsia="zh-CN"/>
        </w:rPr>
        <w:t>、应急办等行业部门根据本部门本行业特点，深入开展行业防汛防台风检查。</w:t>
      </w:r>
    </w:p>
    <w:p w14:paraId="1827654B">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开展各级防指综合检查。各级防指发挥牵头抓总作用，组织由成员单位领导带队的防指督导组，开展督导检查，重点关注防洪工程、学校、地下空间等关键部位和人员密集场所，推动各级防汛备汛和隐患排查整治工作深入开展。</w:t>
      </w:r>
    </w:p>
    <w:p w14:paraId="0562B16C">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抓好风险隐患整治闭环管理。组织各级对检查发现的问题隐患建立台账，明确整改责任和整改时限，实行清单化、动态销号管理和跟踪督办，坚持“汛期不过、检查不停、整改不止”原则，对短期不能彻底整治的，必须落实应急度汛措施，坚决杜绝“带病度汛”。</w:t>
      </w:r>
    </w:p>
    <w:p w14:paraId="1F6F8D06">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黑体" w:cs="Times New Roman"/>
          <w:sz w:val="32"/>
          <w:szCs w:val="32"/>
          <w:lang w:val="en-US" w:eastAsia="zh-CN"/>
        </w:rPr>
        <w:t>三、狠抓防汛预案修编演练</w:t>
      </w:r>
    </w:p>
    <w:p w14:paraId="7A611D83">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加强各级防汛抗旱应急预案修编。坚持问题导向，按照应修尽修、重点突出原则，充分考虑极端暴雨、城市内涝等突出问题，进一步优化预警响应条件及行动，明确响应报备流程，细化应急处置特别是人员转移避险流程，强化提高暴雨洪水防范应对水平。组织指导行业部门、村级修订完善应急预案，细化责任落实、预警信息接收、转移避险和应急处置等措施，进一步提高基层预案的实用性和可操作性。</w:t>
      </w:r>
    </w:p>
    <w:p w14:paraId="3D9934D3">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做好防汛抗旱应急演练工作。坚持实战实训，组织各级和重点行业部门采取实战演练、桌面推演等多种形式，汛前至少开展1次防汛防台风应急演练。组织做好基层防汛演练，突出抓好防汛重点村人员转移避险演练，确保基层责任人熟悉工作职责、明晰响应流程，广大群众熟悉预警信号、掌握避险方式。</w:t>
      </w:r>
    </w:p>
    <w:p w14:paraId="546D8FB5">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黑体" w:cs="Times New Roman"/>
          <w:sz w:val="32"/>
          <w:szCs w:val="32"/>
          <w:lang w:val="en-US" w:eastAsia="zh-CN"/>
        </w:rPr>
        <w:t>四、狠抓防洪减灾工程基础提升</w:t>
      </w:r>
    </w:p>
    <w:p w14:paraId="03AC4C38">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夯实水利工程防洪抗旱基础。推动现代水网建设加快实施区域引调水工程、重点防洪减灾工程项目建设，不断提升抗御重特大水旱灾害能力。科学组织流域防洪规划修编，系统推进病险水库水闸除险加固、水毁工程修复、河道防洪</w:t>
      </w:r>
      <w:r>
        <w:rPr>
          <w:rFonts w:hint="default" w:ascii="Times New Roman" w:hAnsi="Times New Roman" w:eastAsia="仿宋_GB2312" w:cs="Times New Roman"/>
          <w:spacing w:val="-6"/>
          <w:sz w:val="32"/>
          <w:szCs w:val="32"/>
          <w:lang w:val="en-US" w:eastAsia="zh-CN"/>
        </w:rPr>
        <w:t>治理和堤防提标改造等工程建设，充分发挥工程防洪减灾效益。</w:t>
      </w:r>
    </w:p>
    <w:p w14:paraId="2F5BB1BB">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2.提升农田防洪排涝能力。结合高标准农田建设，加大项目区内低洼片区田间排水沟网建设力度，完善农田排涝体系</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不断提升农田防洪排涝能力。强化农业灾情监测、发布，指导农业紧急救灾和灾后恢复，最大限度减少农业损失。</w:t>
      </w:r>
    </w:p>
    <w:p w14:paraId="74A5DF39">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黑体" w:cs="Times New Roman"/>
          <w:sz w:val="32"/>
          <w:szCs w:val="32"/>
          <w:lang w:val="en-US" w:eastAsia="zh-CN"/>
        </w:rPr>
        <w:t>五、狠抓防汛应急救援能力建设</w:t>
      </w:r>
    </w:p>
    <w:p w14:paraId="3DA418CC">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强化防汛抢险应急救援能力。建立健全以综合性消防救援队伍为主力、以专业抢险队伍为骨干、以社会力量为辅助的应急救援力量体系，加强与镇武装部民兵预备役的应急联动机制建设，按照就近调配、快速行动、有序救援原则，建立健全区域抢险救援应急响应联动机制，优化抢险力量布局，实现各类抢险救援力量快速反应、协调联动。</w:t>
      </w:r>
    </w:p>
    <w:p w14:paraId="0921EA5A">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强化防汛救灾物资保障。健全政府实物储备、企业（商业）储备、产能储备机制，加强镇救灾物资储备，完善物资应急调用机制，形成镇级储备和基层储备相互补充、政府和商业储备相互结合、实物和产能储备相互衔接的防汛抗旱物资储备体系。组织开展防汛抗旱物资物料汛前储备和更新补充，提前落实防汛用石、用砂等抢险物料和大型防汛抢险设备，确保关键时刻调得出、运得快、用得上。</w:t>
      </w:r>
    </w:p>
    <w:p w14:paraId="2252D0CE">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黑体" w:cs="Times New Roman"/>
          <w:sz w:val="32"/>
          <w:szCs w:val="32"/>
          <w:lang w:val="en-US" w:eastAsia="zh-CN"/>
        </w:rPr>
        <w:t>六、狠抓水旱灾害防范应对</w:t>
      </w:r>
    </w:p>
    <w:p w14:paraId="2C59C4E0">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强化监测预报预警。密切监视雨情水情和台风发展变化，滚动开展预测预报，及时发布预警，强化局地短时强降雨和山洪地质灾害等临灾预警，多渠道发布气象、水文预警信息，做好重点时段、重点部位暴雨、山洪、地质灾害、城乡内涝、洪水短临预报预警，完善应急广播、手机短信等预警传播渠道，实现预警直达责任人和受威胁群众。</w:t>
      </w:r>
    </w:p>
    <w:p w14:paraId="0237AB5F">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2.强化联合值班值守机制。优化汛期联合值班值守制度，汛期组织应急办、水利站、消防等部门开展联合值班值守，重要天气过程增加行政执法大队、国土所和建</w:t>
      </w:r>
      <w:r>
        <w:rPr>
          <w:rFonts w:hint="eastAsia" w:ascii="Times New Roman" w:hAnsi="Times New Roman" w:eastAsia="仿宋_GB2312" w:cs="Times New Roman"/>
          <w:sz w:val="32"/>
          <w:szCs w:val="32"/>
          <w:lang w:val="en-US" w:eastAsia="zh-CN"/>
        </w:rPr>
        <w:t>设</w:t>
      </w:r>
      <w:r>
        <w:rPr>
          <w:rFonts w:hint="default" w:ascii="Times New Roman" w:hAnsi="Times New Roman" w:eastAsia="仿宋_GB2312" w:cs="Times New Roman"/>
          <w:sz w:val="32"/>
          <w:szCs w:val="32"/>
          <w:lang w:val="en-US" w:eastAsia="zh-CN"/>
        </w:rPr>
        <w:t>办、公路站、</w:t>
      </w:r>
      <w:r>
        <w:rPr>
          <w:rFonts w:hint="default" w:ascii="Times New Roman" w:hAnsi="Times New Roman" w:eastAsia="仿宋_GB2312" w:cs="Times New Roman"/>
          <w:sz w:val="32"/>
          <w:szCs w:val="32"/>
          <w:highlight w:val="none"/>
          <w:lang w:val="en-US" w:eastAsia="zh-CN"/>
        </w:rPr>
        <w:t>农业发</w:t>
      </w:r>
      <w:r>
        <w:rPr>
          <w:rFonts w:hint="eastAsia" w:ascii="Times New Roman" w:hAnsi="Times New Roman" w:eastAsia="仿宋_GB2312" w:cs="Times New Roman"/>
          <w:sz w:val="32"/>
          <w:szCs w:val="32"/>
          <w:highlight w:val="none"/>
          <w:lang w:val="en-US" w:eastAsia="zh-CN"/>
        </w:rPr>
        <w:t>展</w:t>
      </w:r>
      <w:r>
        <w:rPr>
          <w:rFonts w:hint="default" w:ascii="Times New Roman" w:hAnsi="Times New Roman" w:eastAsia="仿宋_GB2312" w:cs="Times New Roman"/>
          <w:sz w:val="32"/>
          <w:szCs w:val="32"/>
          <w:highlight w:val="none"/>
          <w:lang w:val="en-US" w:eastAsia="zh-CN"/>
        </w:rPr>
        <w:t>办、文旅</w:t>
      </w:r>
      <w:r>
        <w:rPr>
          <w:rFonts w:hint="eastAsia" w:ascii="Times New Roman" w:hAnsi="Times New Roman" w:eastAsia="仿宋_GB2312" w:cs="Times New Roman"/>
          <w:sz w:val="32"/>
          <w:szCs w:val="32"/>
          <w:highlight w:val="none"/>
          <w:lang w:val="en-US" w:eastAsia="zh-CN"/>
        </w:rPr>
        <w:t>办</w:t>
      </w:r>
      <w:r>
        <w:rPr>
          <w:rFonts w:hint="default" w:ascii="Times New Roman" w:hAnsi="Times New Roman" w:eastAsia="仿宋_GB2312" w:cs="Times New Roman"/>
          <w:sz w:val="32"/>
          <w:szCs w:val="32"/>
          <w:highlight w:val="none"/>
          <w:lang w:val="en-US" w:eastAsia="zh-CN"/>
        </w:rPr>
        <w:t>等部门值守力量，</w:t>
      </w:r>
      <w:r>
        <w:rPr>
          <w:rFonts w:hint="default" w:ascii="Times New Roman" w:hAnsi="Times New Roman" w:eastAsia="仿宋_GB2312" w:cs="Times New Roman"/>
          <w:sz w:val="32"/>
          <w:szCs w:val="32"/>
          <w:lang w:val="en-US" w:eastAsia="zh-CN"/>
        </w:rPr>
        <w:t>随时做好突发汛情、险情应急处置准备。强化雨情、水情、工情、险情、灾情等信息互通共享，加强汛期信息报送，重大险情、汛情信息实行直报，为快速处置、抢险救援争取主动，坚决杜绝迟报、瞒报、谎报。</w:t>
      </w:r>
    </w:p>
    <w:p w14:paraId="077A31E8">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加强重点部位巡查防守。汛期组织工程管理单位、重点部位巡查责任人及时开展巡查防守，重要天气过程24小时盯守，确保险情早发现、早报告、早处置。加强水库、旅游景区、在建工程、地下空间及地质灾害风险点的巡查防守，对历史险工险段、穿堤建筑物、涉河工程、漫水路（桥）、下穿立交等易出险区域落实专人分班、分组反复巡查。当达到警戒水位或防洪限制水位时，加强巡堤查险力度，增加巡查人员和频次，按要求预置抢险力量、物料和设备，保障行洪安全。</w:t>
      </w:r>
    </w:p>
    <w:p w14:paraId="42E4387C">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及时处置突发险情灾情。坚持属地为主原则，发生灾情险情后，灾害发生地防指要第一时间组织抢险救援，各成员单位根据职责指导地方组织开展应急处置，坚决防止小险情酿成大损失。发生较大险情灾情，由市防指统一指挥调度抢险救援工作，各成员单位按照职责分工，做好应急通信、供电、交通运输、医疗救援等工作。</w:t>
      </w:r>
    </w:p>
    <w:p w14:paraId="693C8FF3">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坚持防汛抗旱“两手抓”。密切关注旱情、雨情、水情、墒情和苗情，适时组织旱情会商研判，根据旱情发展，及时动员开展抗旱工作。按照“先生活后生产、先节水后调水、先地表后地下”原则，加强水资源统一调度管理，抓好水源间的联调互济，做好易旱区应急送水准备工作，优先保障群众安全饮水需求。</w:t>
      </w:r>
    </w:p>
    <w:p w14:paraId="6AC034A4">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黑体" w:cs="Times New Roman"/>
          <w:sz w:val="32"/>
          <w:szCs w:val="32"/>
          <w:lang w:val="en-US" w:eastAsia="zh-CN"/>
        </w:rPr>
        <w:t>七、狠抓防汛抗旱宣传教育</w:t>
      </w:r>
    </w:p>
    <w:p w14:paraId="01C14976">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强化新闻宣传舆情引导。完善防汛抗旱突发事件新闻舆情应对机制，根据汛情发展和灾情发生情况，及时向社会公众发布权威信息，回应公众关切，组织协调新闻媒体报道防汛抗旱一线抢险救援、转移安置、巡堤查险等情况，大力宣传防汛抗洪的典型案例和感人事迹，引导舆论形成正能量。</w:t>
      </w:r>
    </w:p>
    <w:p w14:paraId="0F1F2126">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2.强化防灾避险宣传教育。在全社会广泛开展防汛减灾宣传教育，持续加强防汛减灾知识培训，组织群众开展逃生、应急避险演练，提高公众自我防范意识和自救互救能力，筑牢防灾减灾救灾的人民防线。</w:t>
      </w:r>
    </w:p>
    <w:p w14:paraId="7534A0C4">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5120" w:firstLineChars="1600"/>
        <w:jc w:val="left"/>
        <w:textAlignment w:val="auto"/>
        <w:rPr>
          <w:rFonts w:hint="default" w:ascii="Times New Roman" w:hAnsi="Times New Roman" w:eastAsia="仿宋" w:cs="Times New Roman"/>
          <w:sz w:val="32"/>
          <w:szCs w:val="32"/>
          <w:lang w:val="en-US" w:eastAsia="zh-CN"/>
        </w:rPr>
      </w:pPr>
    </w:p>
    <w:p w14:paraId="4EC38262">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5120" w:firstLineChars="1600"/>
        <w:jc w:val="left"/>
        <w:textAlignment w:val="auto"/>
        <w:rPr>
          <w:rFonts w:hint="default" w:ascii="Times New Roman" w:hAnsi="Times New Roman" w:eastAsia="仿宋" w:cs="Times New Roman"/>
          <w:sz w:val="32"/>
          <w:szCs w:val="32"/>
          <w:lang w:val="en-US" w:eastAsia="zh-CN"/>
        </w:rPr>
      </w:pPr>
    </w:p>
    <w:p w14:paraId="2AA3EEC9">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沙沟镇人民政府</w:t>
      </w:r>
    </w:p>
    <w:p w14:paraId="7E8986AA">
      <w:pPr>
        <w:keepNext w:val="0"/>
        <w:keepLines w:val="0"/>
        <w:pageBreakBefore w:val="0"/>
        <w:widowControl w:val="0"/>
        <w:tabs>
          <w:tab w:val="left" w:pos="1357"/>
        </w:tabs>
        <w:kinsoku/>
        <w:wordWrap/>
        <w:overflowPunct/>
        <w:topLinePunct w:val="0"/>
        <w:autoSpaceDE/>
        <w:autoSpaceDN/>
        <w:bidi w:val="0"/>
        <w:adjustRightInd/>
        <w:snapToGrid/>
        <w:spacing w:beforeAutospacing="0" w:afterAutospacing="0" w:line="58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2026年5月22日</w:t>
      </w:r>
    </w:p>
    <w:p w14:paraId="1178A44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right"/>
        <w:textAlignment w:val="auto"/>
        <w:rPr>
          <w:rFonts w:hint="default" w:ascii="Times New Roman" w:hAnsi="Times New Roman" w:eastAsia="仿宋" w:cs="Times New Roman"/>
          <w:sz w:val="32"/>
          <w:szCs w:val="32"/>
          <w:lang w:val="en-US" w:eastAsia="zh-CN"/>
        </w:rPr>
      </w:pPr>
    </w:p>
    <w:p w14:paraId="601C579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33A08F4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5C95C69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1E3A74A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19DAB88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4C7C95F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57002B7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0CEF273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4E13CEE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p w14:paraId="5A7DCEF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sz w:val="32"/>
          <w:szCs w:val="32"/>
          <w:lang w:val="en-US" w:eastAsia="zh-CN"/>
        </w:rPr>
      </w:pPr>
    </w:p>
    <w:sectPr>
      <w:headerReference r:id="rId3" w:type="default"/>
      <w:footerReference r:id="rId4" w:type="default"/>
      <w:pgSz w:w="11906" w:h="16838"/>
      <w:pgMar w:top="1701" w:right="1701" w:bottom="1701" w:left="170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1F1F5">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C97EF">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CC97EF">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79C88">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0"/>
  <w:displayVerticalDrawingGridEvery w:val="2"/>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C6D5F"/>
    <w:rsid w:val="06CD56DA"/>
    <w:rsid w:val="104A5BF1"/>
    <w:rsid w:val="161D4550"/>
    <w:rsid w:val="175D1859"/>
    <w:rsid w:val="29AE18A7"/>
    <w:rsid w:val="2E34562C"/>
    <w:rsid w:val="34957029"/>
    <w:rsid w:val="34D4418C"/>
    <w:rsid w:val="3A3070F6"/>
    <w:rsid w:val="3ADF495B"/>
    <w:rsid w:val="49574FDE"/>
    <w:rsid w:val="4BFA1D20"/>
    <w:rsid w:val="4F326F04"/>
    <w:rsid w:val="50AD0C01"/>
    <w:rsid w:val="563869EA"/>
    <w:rsid w:val="725A7AF3"/>
    <w:rsid w:val="752701A2"/>
    <w:rsid w:val="7CCD21D7"/>
    <w:rsid w:val="7D450D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Calibri" w:hAnsi="Calibri" w:eastAsia="宋体"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默认段落字体1"/>
    <w:link w:val="1"/>
    <w:semiHidden/>
    <w:qFormat/>
    <w:uiPriority w:val="0"/>
  </w:style>
  <w:style w:type="table" w:customStyle="1" w:styleId="7">
    <w:name w:val="普通表格1"/>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a88f935c-e5bd-4989-8a9b-a1042b99f549</errorID>
      <errorWord>一岗双责”</errorWord>
      <group>L1_Word</group>
      <groupName>字词问题</groupName>
      <ability>L2_Typo</ability>
      <abilityName>字词错误</abilityName>
      <candidateList>
        <item>“一岗双责”</item>
      </candidateList>
      <explain/>
      <paraID>156005D8</paraID>
      <start>24</start>
      <end>29</end>
      <status>unmodified</status>
      <modifiedWord/>
      <trackRevisions>false</trackRevisions>
    </reviewItem>
    <reviewItem>
      <errorID>25a62d04-6dad-47e6-8dd9-f358913a5388</errorID>
      <errorWord>救灾</errorWord>
      <group>L1_Grammar</group>
      <groupName>语法问题</groupName>
      <ability>L2_Grammar</ability>
      <abilityName>语法错误</abilityName>
      <candidateList>
        <item>救援</item>
      </candidateList>
      <explain>“紧急～救灾”搭配不当，建议修改为“紧急～救援”。</explain>
      <paraID>2F5BB1BB</paraID>
      <start>84</start>
      <end>86</end>
      <status>unmodified</status>
      <modifiedWord/>
      <trackRevisions>false</trackRevisions>
    </reviewItem>
    <reviewItem>
      <errorID>701cbade-8615-4001-8a60-d314c1c1824d</errorID>
      <errorWord>加强</errorWord>
      <group>L1_Grammar</group>
      <groupName>语法问题</groupName>
      <ability>L2_Grammar</ability>
      <abilityName>语法错误</abilityName>
      <candidateList>
        <item>加大</item>
      </candidateList>
      <explain>“加强～力度”搭配不当，建议修改为“加大～力度”。</explain>
      <paraID> 77A31E8</paraID>
      <start>170</start>
      <end>172</end>
      <status>unmodified</status>
      <modifiedWord/>
      <trackRevisions>false</trackRevisions>
    </reviewItem>
    <reviewItem>
      <errorID>0119c6aa-f86b-4e88-99bb-eba1ccc4d02e</errorID>
      <errorWord>提高</errorWord>
      <group>L1_Grammar</group>
      <groupName>语法问题</groupName>
      <ability>L2_Grammar</ability>
      <abilityName>语法错误</abilityName>
      <candidateList>
        <item>增强</item>
      </candidateList>
      <explain>“提高～意识”搭配不当，建议修改为“增强～意识”。</explain>
      <paraID> F1F2126</paraID>
      <start>59</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89ba83-48b3-4a29-b81b-d7c946f9bce1}">
  <ds:schemaRefs/>
</ds:datastoreItem>
</file>

<file path=docProps/app.xml><?xml version="1.0" encoding="utf-8"?>
<Properties xmlns="http://schemas.openxmlformats.org/officeDocument/2006/extended-properties" xmlns:vt="http://schemas.openxmlformats.org/officeDocument/2006/docPropsVTypes">
  <Pages>7</Pages>
  <Words>3117</Words>
  <Characters>3156</Characters>
  <Lines>0</Lines>
  <Paragraphs>0</Paragraphs>
  <TotalTime>1</TotalTime>
  <ScaleCrop>false</ScaleCrop>
  <LinksUpToDate>false</LinksUpToDate>
  <CharactersWithSpaces>3156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2023-09-03T13:08:00Z</dcterms:created>
  <dc:creator>Administrator</dc:creator>
  <cp:lastModifiedBy>渡</cp:lastModifiedBy>
  <cp:lastPrinted>2026-05-26T01:30:00Z</cp:lastPrinted>
  <dcterms:modified xsi:type="dcterms:W3CDTF">2026-09-03T09:35:35Z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05A10300D5914C77B5738A31234E177F_13</vt:lpwstr>
  </property>
  <property fmtid="{D5CDD505-2E9C-101B-9397-08002B2CF9AE}" pid="4" name="KSOTemplateDocerSaveRecord">
    <vt:lpwstr>eyJoZGlkIjoiMWUxYTE3NTQ3NTIxOWQ2NmFkNGI4ZTIyNmY4NThkZjIiLCJ1c2VySWQiOiIzNTkzMjE3NDIifQ==</vt:lpwstr>
  </property>
</Properties>
</file>